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A3E9290"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15pt;height:20.4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15pt;height:20.4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15pt;height:20.4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5B8AB276" w:rsidR="006C677D" w:rsidRPr="0090668B" w:rsidRDefault="00C431B3" w:rsidP="00C431B3">
            <w:pPr>
              <w:spacing w:after="0" w:line="320" w:lineRule="atLeast"/>
              <w:rPr>
                <w:rFonts w:ascii="Tahoma" w:eastAsia="Times New Roman" w:hAnsi="Tahoma" w:cs="Tahoma"/>
                <w:sz w:val="24"/>
                <w:szCs w:val="20"/>
                <w:lang w:eastAsia="en-GB"/>
              </w:rPr>
            </w:pPr>
            <w:r w:rsidRPr="00C431B3">
              <w:rPr>
                <w:rFonts w:ascii="Tahoma" w:eastAsia="Times New Roman" w:hAnsi="Tahoma" w:cs="Tahoma"/>
                <w:sz w:val="24"/>
                <w:szCs w:val="20"/>
                <w:lang w:eastAsia="en-GB"/>
              </w:rPr>
              <w:t>Harrow Community Infrastructure Levy (HCIL) – approval of Discretionary Social Housing Relief policy / statement</w:t>
            </w:r>
          </w:p>
        </w:tc>
        <w:tc>
          <w:tcPr>
            <w:tcW w:w="1719" w:type="pct"/>
            <w:shd w:val="clear" w:color="auto" w:fill="auto"/>
            <w:vAlign w:val="center"/>
          </w:tcPr>
          <w:p w14:paraId="3E864369" w14:textId="226D5989" w:rsidR="006C677D" w:rsidRPr="006D0980" w:rsidRDefault="006C677D" w:rsidP="001B4788">
            <w:pPr>
              <w:spacing w:after="0" w:line="320" w:lineRule="atLeast"/>
              <w:rPr>
                <w:rFonts w:ascii="Arial" w:eastAsia="Times New Roman" w:hAnsi="Arial" w:cs="Arial"/>
                <w:bCs/>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6D0980">
              <w:rPr>
                <w:rFonts w:ascii="Arial" w:eastAsia="Times New Roman" w:hAnsi="Arial" w:cs="Arial"/>
                <w:b/>
                <w:lang w:eastAsia="en-GB"/>
              </w:rPr>
              <w:t xml:space="preserve">: </w:t>
            </w:r>
            <w:r w:rsidR="006D0980">
              <w:rPr>
                <w:rFonts w:ascii="Arial" w:eastAsia="Times New Roman" w:hAnsi="Arial" w:cs="Arial"/>
                <w:bCs/>
                <w:lang w:eastAsia="en-GB"/>
              </w:rPr>
              <w:t>September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56BAE7B5" w:rsidR="006C677D" w:rsidRPr="0090668B" w:rsidRDefault="00C431B3"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David Hughes, Planning Policy Manager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769FD03C"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w:t>
            </w:r>
            <w:r w:rsidR="00B159CC">
              <w:rPr>
                <w:rFonts w:ascii="Arial" w:eastAsia="Times New Roman" w:hAnsi="Arial" w:cs="Arial"/>
                <w:b/>
                <w:lang w:eastAsia="en-GB"/>
              </w:rPr>
              <w:t>Equality, Diversity and Inclusion Team</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E6DD66F" w14:textId="77777777"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14:paraId="3E864375" w14:textId="202F61CA" w:rsidR="00B159CC" w:rsidRPr="0090668B" w:rsidRDefault="00B159CC" w:rsidP="001B4788">
            <w:pPr>
              <w:spacing w:after="0" w:line="240" w:lineRule="auto"/>
              <w:rPr>
                <w:rFonts w:ascii="Arial" w:eastAsia="Times New Roman" w:hAnsi="Arial" w:cs="Arial"/>
                <w:b/>
                <w:lang w:eastAsia="en-GB"/>
              </w:rPr>
            </w:pPr>
            <w:r>
              <w:rPr>
                <w:rFonts w:ascii="Arial" w:eastAsia="Times New Roman" w:hAnsi="Arial" w:cs="Arial"/>
                <w:b/>
                <w:lang w:eastAsia="en-GB"/>
              </w:rPr>
              <w:t>Shumailla Dar, Head of Equality, Diversity and Inclusion</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6C048801" w:rsidR="006C677D" w:rsidRPr="00C21A65" w:rsidRDefault="000D2634"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B159CC">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567AACCD"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B159CC">
              <w:rPr>
                <w:rFonts w:ascii="Arial" w:eastAsia="Times New Roman" w:hAnsi="Arial" w:cs="Arial"/>
                <w:b/>
                <w:lang w:eastAsia="en-GB"/>
              </w:rPr>
              <w:t xml:space="preserve"> 07/10/21</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4158CA3E"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3E864381" w14:textId="69CE54B7" w:rsidR="00C431B3" w:rsidRPr="001B4788" w:rsidRDefault="00C431B3" w:rsidP="006D0980">
            <w:pPr>
              <w:spacing w:after="160" w:line="240" w:lineRule="exact"/>
              <w:rPr>
                <w:rFonts w:ascii="Arial" w:eastAsia="Times New Roman" w:hAnsi="Arial" w:cs="Arial"/>
                <w:b/>
                <w:sz w:val="24"/>
                <w:szCs w:val="24"/>
                <w:lang w:eastAsia="en-GB"/>
              </w:rPr>
            </w:pPr>
            <w:proofErr w:type="spellStart"/>
            <w:r w:rsidRPr="006D0980">
              <w:rPr>
                <w:rFonts w:ascii="Arial" w:hAnsi="Arial" w:cs="Arial"/>
              </w:rPr>
              <w:t>Adooption</w:t>
            </w:r>
            <w:proofErr w:type="spellEnd"/>
            <w:r w:rsidRPr="006D0980">
              <w:rPr>
                <w:rFonts w:ascii="Arial" w:hAnsi="Arial" w:cs="Arial"/>
              </w:rPr>
              <w:t xml:space="preserve"> of a Statement of Availability on Discretionary Social Housing Relief under Regulations 49A and 49B</w:t>
            </w:r>
            <w:r w:rsidR="002C6FAE">
              <w:rPr>
                <w:rFonts w:ascii="Arial" w:hAnsi="Arial" w:cs="Arial"/>
              </w:rPr>
              <w:t xml:space="preserve"> of the Community </w:t>
            </w:r>
            <w:proofErr w:type="spellStart"/>
            <w:r w:rsidR="002C6FAE">
              <w:rPr>
                <w:rFonts w:ascii="Arial" w:hAnsi="Arial" w:cs="Arial"/>
              </w:rPr>
              <w:t>Infrasructure</w:t>
            </w:r>
            <w:proofErr w:type="spellEnd"/>
            <w:r w:rsidR="002C6FAE">
              <w:rPr>
                <w:rFonts w:ascii="Arial" w:hAnsi="Arial" w:cs="Arial"/>
              </w:rPr>
              <w:t xml:space="preserve"> Levy Regulations 2010 (as amended)</w:t>
            </w:r>
            <w:r w:rsidRPr="006D0980">
              <w:rPr>
                <w:rFonts w:ascii="Arial" w:hAnsi="Arial" w:cs="Arial"/>
              </w:rPr>
              <w:t xml:space="preserve">.  The proposed statement allows the Council, at its discretion, to offer Community Infrastructure Levy (CIL) relief for discounted market sale (DMS) units, an intermediate affordable housing tenure. This refers to housing units being sold at 80% or less of their market value. The ability to offer this discretionary relief was introduced under the February 2014 amendments to the CIL Regulations. To be able to offer the relief, a </w:t>
            </w:r>
            <w:proofErr w:type="spellStart"/>
            <w:r w:rsidRPr="006D0980">
              <w:rPr>
                <w:rFonts w:ascii="Arial" w:hAnsi="Arial" w:cs="Arial"/>
              </w:rPr>
              <w:t>chargin</w:t>
            </w:r>
            <w:r w:rsidR="001E49D0">
              <w:rPr>
                <w:rFonts w:ascii="Arial" w:hAnsi="Arial" w:cs="Arial"/>
              </w:rPr>
              <w:t>f</w:t>
            </w:r>
            <w:r w:rsidRPr="006D0980">
              <w:rPr>
                <w:rFonts w:ascii="Arial" w:hAnsi="Arial" w:cs="Arial"/>
              </w:rPr>
              <w:t>g</w:t>
            </w:r>
            <w:proofErr w:type="spellEnd"/>
            <w:r w:rsidRPr="006D0980">
              <w:rPr>
                <w:rFonts w:ascii="Arial" w:hAnsi="Arial" w:cs="Arial"/>
              </w:rPr>
              <w:t xml:space="preserve"> authority needs to publish a statement about how discounted market housing will be ‘allocated’ in its area, to the extent that the authority is responsible for ‘allocating’ that housing type. The meaning of ‘allocation’ in this context is not entirely clear in the CIL Regulations. It is considered that it should be interpreted as meaning that the charging authority should set out its approach to how discounted market units should be brought forward for sale (for example, to people who meet certain income criteria).</w:t>
            </w:r>
            <w:bookmarkStart w:id="0" w:name="_GoBack"/>
            <w:bookmarkEnd w:id="0"/>
          </w:p>
        </w:tc>
      </w:tr>
      <w:tr w:rsidR="001B4788" w:rsidRPr="0090668B" w14:paraId="3E864385" w14:textId="77777777" w:rsidTr="003F6D6A">
        <w:trPr>
          <w:trHeight w:val="240"/>
        </w:trPr>
        <w:tc>
          <w:tcPr>
            <w:tcW w:w="5000" w:type="pct"/>
            <w:shd w:val="clear" w:color="auto" w:fill="auto"/>
          </w:tcPr>
          <w:p w14:paraId="3E864383" w14:textId="5B57E02C"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the </w:t>
            </w:r>
            <w:proofErr w:type="gramStart"/>
            <w:r w:rsidRPr="003A7D5D">
              <w:rPr>
                <w:rFonts w:ascii="Arial" w:eastAsia="Times New Roman" w:hAnsi="Arial" w:cs="Arial"/>
                <w:b/>
                <w:sz w:val="24"/>
                <w:szCs w:val="24"/>
                <w:lang w:eastAsia="en-GB"/>
              </w:rPr>
              <w:t>impact  of</w:t>
            </w:r>
            <w:proofErr w:type="gramEnd"/>
            <w:r w:rsidRPr="003A7D5D">
              <w:rPr>
                <w:rFonts w:ascii="Arial" w:eastAsia="Times New Roman" w:hAnsi="Arial" w:cs="Arial"/>
                <w:b/>
                <w:sz w:val="24"/>
                <w:szCs w:val="24"/>
                <w:lang w:eastAsia="en-GB"/>
              </w:rPr>
              <w:t xml:space="preserve"> your  proposal on groups with protected characteristics</w:t>
            </w:r>
            <w:r>
              <w:rPr>
                <w:rFonts w:ascii="Arial" w:eastAsia="Times New Roman" w:hAnsi="Arial" w:cs="Arial"/>
                <w:b/>
                <w:sz w:val="20"/>
                <w:szCs w:val="20"/>
                <w:lang w:eastAsia="en-GB"/>
              </w:rPr>
              <w:t xml:space="preserve"> </w:t>
            </w:r>
          </w:p>
          <w:p w14:paraId="065BDAA4" w14:textId="77777777" w:rsidR="001B4788" w:rsidRDefault="001B4788" w:rsidP="001B4788">
            <w:pPr>
              <w:spacing w:after="0" w:line="240" w:lineRule="auto"/>
              <w:rPr>
                <w:rFonts w:ascii="Arial" w:eastAsia="Times New Roman" w:hAnsi="Arial" w:cs="Arial"/>
                <w:b/>
                <w:sz w:val="20"/>
                <w:szCs w:val="20"/>
                <w:lang w:eastAsia="en-GB"/>
              </w:rPr>
            </w:pPr>
          </w:p>
          <w:p w14:paraId="71933E04" w14:textId="04E27219" w:rsidR="006D0980" w:rsidRDefault="00377B75" w:rsidP="00377B75">
            <w:pPr>
              <w:spacing w:after="160" w:line="240" w:lineRule="exact"/>
              <w:rPr>
                <w:rFonts w:ascii="Arial" w:eastAsia="Times New Roman" w:hAnsi="Arial" w:cs="Arial"/>
                <w:b/>
                <w:sz w:val="20"/>
                <w:szCs w:val="20"/>
                <w:lang w:eastAsia="en-GB"/>
              </w:rPr>
            </w:pPr>
            <w:r w:rsidRPr="00377B75">
              <w:rPr>
                <w:rFonts w:ascii="Arial" w:hAnsi="Arial" w:cs="Arial"/>
              </w:rPr>
              <w:t>The pro</w:t>
            </w:r>
            <w:r>
              <w:rPr>
                <w:rFonts w:ascii="Arial" w:hAnsi="Arial" w:cs="Arial"/>
              </w:rPr>
              <w:t xml:space="preserve">vision of affordable housing generally has either a positive or indeterminate impact upon groups with protected characteristics. The proposal facilitates </w:t>
            </w:r>
            <w:r w:rsidR="002C6FAE">
              <w:rPr>
                <w:rFonts w:ascii="Arial" w:hAnsi="Arial" w:cs="Arial"/>
              </w:rPr>
              <w:t>an alternative</w:t>
            </w:r>
            <w:r>
              <w:rPr>
                <w:rFonts w:ascii="Arial" w:hAnsi="Arial" w:cs="Arial"/>
              </w:rPr>
              <w:t xml:space="preserve"> form of affordable housing (discount market sale units sold at 80% of market value or less)</w:t>
            </w:r>
            <w:r w:rsidR="001E492F">
              <w:rPr>
                <w:rFonts w:ascii="Arial" w:hAnsi="Arial" w:cs="Arial"/>
              </w:rPr>
              <w:t xml:space="preserve"> and is therefore also positive. Potentially in facilitating this </w:t>
            </w:r>
            <w:proofErr w:type="gramStart"/>
            <w:r w:rsidR="001E492F">
              <w:rPr>
                <w:rFonts w:ascii="Arial" w:hAnsi="Arial" w:cs="Arial"/>
              </w:rPr>
              <w:t>particular form</w:t>
            </w:r>
            <w:proofErr w:type="gramEnd"/>
            <w:r w:rsidR="001E492F">
              <w:rPr>
                <w:rFonts w:ascii="Arial" w:hAnsi="Arial" w:cs="Arial"/>
              </w:rPr>
              <w:t xml:space="preserve"> of affordable housing (an intermediate tenure), this could impactive negatively upon low-cost rent tenures but overarching Local Plan policy would continue to </w:t>
            </w:r>
            <w:r w:rsidR="00025278">
              <w:rPr>
                <w:rFonts w:ascii="Arial" w:hAnsi="Arial" w:cs="Arial"/>
              </w:rPr>
              <w:t>prioritise</w:t>
            </w:r>
            <w:r w:rsidR="00025278">
              <w:rPr>
                <w:rFonts w:ascii="Arial" w:hAnsi="Arial" w:cs="Arial"/>
              </w:rPr>
              <w:t xml:space="preserve"> </w:t>
            </w:r>
            <w:r w:rsidR="001E492F">
              <w:rPr>
                <w:rFonts w:ascii="Arial" w:hAnsi="Arial" w:cs="Arial"/>
              </w:rPr>
              <w:t>such tenures.</w:t>
            </w:r>
          </w:p>
          <w:p w14:paraId="3E864384" w14:textId="0CDF6786" w:rsidR="006D0980" w:rsidRPr="001B4788" w:rsidRDefault="006D0980"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432F76DF"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2D871618" w14:textId="77777777" w:rsidR="00377B75" w:rsidRDefault="00377B75" w:rsidP="00C11769">
            <w:pPr>
              <w:spacing w:after="0" w:line="240" w:lineRule="auto"/>
              <w:rPr>
                <w:rFonts w:ascii="Arial" w:eastAsia="Times New Roman" w:hAnsi="Arial" w:cs="Arial"/>
                <w:b/>
                <w:sz w:val="24"/>
                <w:szCs w:val="24"/>
                <w:lang w:eastAsia="en-GB"/>
              </w:rPr>
            </w:pPr>
          </w:p>
          <w:p w14:paraId="41901B13" w14:textId="6A2B903A" w:rsidR="00377B75" w:rsidRPr="00377B75" w:rsidRDefault="00377B75" w:rsidP="00377B75">
            <w:pPr>
              <w:spacing w:after="160" w:line="240" w:lineRule="exact"/>
              <w:rPr>
                <w:rFonts w:ascii="Arial" w:hAnsi="Arial" w:cs="Arial"/>
              </w:rPr>
            </w:pPr>
            <w:bookmarkStart w:id="1" w:name="_Hlk84572643"/>
            <w:r w:rsidRPr="00377B75">
              <w:rPr>
                <w:rFonts w:ascii="Arial" w:hAnsi="Arial" w:cs="Arial"/>
              </w:rPr>
              <w:t>There are no anticipated adverse influences under any protected characteristic</w:t>
            </w:r>
            <w:bookmarkEnd w:id="1"/>
            <w:r w:rsidRPr="00377B75">
              <w:rPr>
                <w:rFonts w:ascii="Arial" w:hAnsi="Arial" w:cs="Arial"/>
              </w:rPr>
              <w:t>.</w:t>
            </w:r>
          </w:p>
          <w:p w14:paraId="3E864386" w14:textId="32675762" w:rsidR="00377B75" w:rsidRPr="001B4788" w:rsidRDefault="00377B75"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1C25987" w14:textId="77777777" w:rsidR="000D3E6C" w:rsidRPr="001C63E1" w:rsidRDefault="000D3E6C" w:rsidP="00702CFA">
            <w:pPr>
              <w:spacing w:after="160" w:line="240" w:lineRule="exact"/>
              <w:rPr>
                <w:rFonts w:ascii="Arial" w:hAnsi="Arial" w:cs="Arial"/>
              </w:rPr>
            </w:pPr>
            <w:r w:rsidRPr="001C63E1">
              <w:rPr>
                <w:rFonts w:ascii="Arial" w:hAnsi="Arial" w:cs="Arial"/>
              </w:rPr>
              <w:t xml:space="preserve">Harrow’s resident population at 30 June 2018 was estimated to be just over 250,000. Growth over the last decade is 9%, lower than London’s growth of 14% and higher than England’s growth of 8%. At the 2011 Census Harrow had the second largest household size of England’s 360 local authorities at 2.78 persons per household </w:t>
            </w:r>
            <w:proofErr w:type="gramStart"/>
            <w:r w:rsidRPr="001C63E1">
              <w:rPr>
                <w:rFonts w:ascii="Arial" w:hAnsi="Arial" w:cs="Arial"/>
              </w:rPr>
              <w:t>The</w:t>
            </w:r>
            <w:proofErr w:type="gramEnd"/>
            <w:r w:rsidRPr="001C63E1">
              <w:rPr>
                <w:rFonts w:ascii="Arial" w:hAnsi="Arial" w:cs="Arial"/>
              </w:rPr>
              <w:t xml:space="preserve"> total number of households (with at least one person) was 84,300. </w:t>
            </w:r>
          </w:p>
          <w:p w14:paraId="72A31E57" w14:textId="5FCF6317" w:rsidR="000D3E6C" w:rsidRDefault="000D3E6C" w:rsidP="00702CFA">
            <w:pPr>
              <w:spacing w:after="160" w:line="240" w:lineRule="exact"/>
              <w:rPr>
                <w:rFonts w:ascii="Arial" w:hAnsi="Arial" w:cs="Arial"/>
              </w:rPr>
            </w:pPr>
            <w:r w:rsidRPr="001C63E1">
              <w:rPr>
                <w:rFonts w:ascii="Arial" w:hAnsi="Arial" w:cs="Arial"/>
              </w:rPr>
              <w:t xml:space="preserve">2018 ONS Mid-Year Population Estimates indicated that 21% of residents were children (aged 0-15), 63.3% were of working age (16-64) and 15.7% were aged 65 and above. The number and proportion of older people in Harrow continue to increase, with implications for housing and adult social care. </w:t>
            </w:r>
          </w:p>
          <w:p w14:paraId="206EE89F" w14:textId="77777777" w:rsidR="000207C6" w:rsidRDefault="000207C6" w:rsidP="000207C6">
            <w:pPr>
              <w:spacing w:after="160" w:line="240" w:lineRule="exact"/>
              <w:rPr>
                <w:rFonts w:ascii="Arial" w:hAnsi="Arial" w:cs="Arial"/>
              </w:rPr>
            </w:pPr>
            <w:r>
              <w:rPr>
                <w:rFonts w:ascii="Arial" w:hAnsi="Arial" w:cs="Arial"/>
              </w:rPr>
              <w:t xml:space="preserve">The Harrow Strategic Housing Market </w:t>
            </w:r>
            <w:proofErr w:type="spellStart"/>
            <w:r>
              <w:rPr>
                <w:rFonts w:ascii="Arial" w:hAnsi="Arial" w:cs="Arial"/>
              </w:rPr>
              <w:t>Asessment</w:t>
            </w:r>
            <w:proofErr w:type="spellEnd"/>
            <w:r>
              <w:rPr>
                <w:rFonts w:ascii="Arial" w:hAnsi="Arial" w:cs="Arial"/>
              </w:rPr>
              <w:t xml:space="preserve"> (SHMA 2018) stated that t</w:t>
            </w:r>
            <w:r w:rsidRPr="000207C6">
              <w:rPr>
                <w:rFonts w:ascii="Arial" w:hAnsi="Arial" w:cs="Arial"/>
              </w:rPr>
              <w:t>he population and household growth projections for Harrow indicate that there are three main sources of household growth in the area:</w:t>
            </w:r>
          </w:p>
          <w:p w14:paraId="53F0326E" w14:textId="1AFABE9A" w:rsidR="000207C6" w:rsidRPr="000207C6" w:rsidRDefault="000207C6" w:rsidP="000207C6">
            <w:pPr>
              <w:pStyle w:val="ListParagraph"/>
              <w:numPr>
                <w:ilvl w:val="0"/>
                <w:numId w:val="4"/>
              </w:numPr>
              <w:spacing w:after="160" w:line="240" w:lineRule="exact"/>
              <w:rPr>
                <w:rFonts w:ascii="Arial" w:hAnsi="Arial" w:cs="Arial"/>
              </w:rPr>
            </w:pPr>
            <w:r w:rsidRPr="000207C6">
              <w:rPr>
                <w:rFonts w:ascii="Arial" w:hAnsi="Arial" w:cs="Arial"/>
              </w:rPr>
              <w:t xml:space="preserve">The impact of an ageing population will see more older single persons and couples. </w:t>
            </w:r>
            <w:proofErr w:type="gramStart"/>
            <w:r w:rsidRPr="000207C6">
              <w:rPr>
                <w:rFonts w:ascii="Arial" w:hAnsi="Arial" w:cs="Arial"/>
              </w:rPr>
              <w:t>The majority of</w:t>
            </w:r>
            <w:proofErr w:type="gramEnd"/>
            <w:r w:rsidRPr="000207C6">
              <w:rPr>
                <w:rFonts w:ascii="Arial" w:hAnsi="Arial" w:cs="Arial"/>
              </w:rPr>
              <w:t xml:space="preserve"> these households are already occupying dwellings in Harrow and the majority will not wish to downsize from the family size homes they currently occupy; </w:t>
            </w:r>
          </w:p>
          <w:p w14:paraId="40CB8B6A" w14:textId="59DEEAF6" w:rsidR="000207C6" w:rsidRPr="000207C6" w:rsidRDefault="000207C6" w:rsidP="000207C6">
            <w:pPr>
              <w:pStyle w:val="ListParagraph"/>
              <w:numPr>
                <w:ilvl w:val="0"/>
                <w:numId w:val="4"/>
              </w:numPr>
              <w:spacing w:after="160" w:line="240" w:lineRule="exact"/>
              <w:rPr>
                <w:rFonts w:ascii="Arial" w:hAnsi="Arial" w:cs="Arial"/>
              </w:rPr>
            </w:pPr>
            <w:r w:rsidRPr="000207C6">
              <w:rPr>
                <w:rFonts w:ascii="Arial" w:hAnsi="Arial" w:cs="Arial"/>
              </w:rPr>
              <w:t xml:space="preserve">The largest growth in projected households is for couples without dependent children, with the main growth being in households aged 55+, again the majority will not wish to downsize from the family size homes they currently occupy; and </w:t>
            </w:r>
          </w:p>
          <w:p w14:paraId="5BB03919" w14:textId="57E8B8FB" w:rsidR="000207C6" w:rsidRPr="000207C6" w:rsidRDefault="000207C6" w:rsidP="000207C6">
            <w:pPr>
              <w:pStyle w:val="ListParagraph"/>
              <w:numPr>
                <w:ilvl w:val="0"/>
                <w:numId w:val="4"/>
              </w:numPr>
              <w:spacing w:after="160" w:line="240" w:lineRule="exact"/>
              <w:rPr>
                <w:rFonts w:ascii="Arial" w:hAnsi="Arial" w:cs="Arial"/>
              </w:rPr>
            </w:pPr>
            <w:r w:rsidRPr="000207C6">
              <w:rPr>
                <w:rFonts w:ascii="Arial" w:hAnsi="Arial" w:cs="Arial"/>
              </w:rPr>
              <w:lastRenderedPageBreak/>
              <w:t xml:space="preserve">Other households include multi-generation households </w:t>
            </w:r>
            <w:proofErr w:type="gramStart"/>
            <w:r w:rsidRPr="000207C6">
              <w:rPr>
                <w:rFonts w:ascii="Arial" w:hAnsi="Arial" w:cs="Arial"/>
              </w:rPr>
              <w:t>and also</w:t>
            </w:r>
            <w:proofErr w:type="gramEnd"/>
            <w:r w:rsidRPr="000207C6">
              <w:rPr>
                <w:rFonts w:ascii="Arial" w:hAnsi="Arial" w:cs="Arial"/>
              </w:rPr>
              <w:t xml:space="preserve"> those who occupy Houses in Multiple Occupation. These households would typically require at least 3 bedrooms in their property. </w:t>
            </w:r>
          </w:p>
          <w:p w14:paraId="2A5A01FC" w14:textId="076D0E98" w:rsidR="000D3E6C" w:rsidRPr="001C63E1" w:rsidRDefault="000D3E6C" w:rsidP="00702CFA">
            <w:pPr>
              <w:spacing w:after="160" w:line="240" w:lineRule="exact"/>
              <w:rPr>
                <w:rFonts w:ascii="Arial" w:eastAsia="Times New Roman" w:hAnsi="Arial" w:cs="Arial"/>
                <w:lang w:val="en-US"/>
              </w:rPr>
            </w:pPr>
            <w:r w:rsidRPr="001C63E1">
              <w:rPr>
                <w:rFonts w:ascii="Arial" w:hAnsi="Arial" w:cs="Arial"/>
              </w:rPr>
              <w:t xml:space="preserve">The </w:t>
            </w:r>
            <w:r w:rsidR="001C63E1">
              <w:rPr>
                <w:rFonts w:ascii="Arial" w:hAnsi="Arial" w:cs="Arial"/>
              </w:rPr>
              <w:t>Harrow Local Plan (adopted 2012 and 201</w:t>
            </w:r>
            <w:r w:rsidR="00862314">
              <w:rPr>
                <w:rFonts w:ascii="Arial" w:hAnsi="Arial" w:cs="Arial"/>
              </w:rPr>
              <w:t>3</w:t>
            </w:r>
            <w:r w:rsidR="001C63E1">
              <w:rPr>
                <w:rFonts w:ascii="Arial" w:hAnsi="Arial" w:cs="Arial"/>
              </w:rPr>
              <w:t xml:space="preserve">) and </w:t>
            </w:r>
            <w:r w:rsidRPr="001C63E1">
              <w:rPr>
                <w:rFonts w:ascii="Arial" w:hAnsi="Arial" w:cs="Arial"/>
              </w:rPr>
              <w:t xml:space="preserve">Housing Strategy </w:t>
            </w:r>
            <w:r w:rsidR="001C63E1">
              <w:rPr>
                <w:rFonts w:ascii="Arial" w:hAnsi="Arial" w:cs="Arial"/>
              </w:rPr>
              <w:t xml:space="preserve">(adopted 2018) policies and </w:t>
            </w:r>
            <w:r w:rsidRPr="001C63E1">
              <w:rPr>
                <w:rFonts w:ascii="Arial" w:hAnsi="Arial" w:cs="Arial"/>
              </w:rPr>
              <w:t xml:space="preserve">priorities </w:t>
            </w:r>
            <w:r w:rsidR="001C63E1">
              <w:rPr>
                <w:rFonts w:ascii="Arial" w:hAnsi="Arial" w:cs="Arial"/>
              </w:rPr>
              <w:t xml:space="preserve">relating to </w:t>
            </w:r>
            <w:r w:rsidRPr="001C63E1">
              <w:rPr>
                <w:rFonts w:ascii="Arial" w:hAnsi="Arial" w:cs="Arial"/>
              </w:rPr>
              <w:t>increasing the supply of affordable housing, improving standards in the private sector and meeting the needs of vulnerable people have a positive impact on all age groups</w:t>
            </w:r>
            <w:r w:rsidR="001C63E1">
              <w:rPr>
                <w:rFonts w:ascii="Arial" w:hAnsi="Arial" w:cs="Arial"/>
              </w:rPr>
              <w:t xml:space="preserve"> (as evidenced in the </w:t>
            </w:r>
            <w:proofErr w:type="spellStart"/>
            <w:r w:rsidR="001E49D0">
              <w:rPr>
                <w:rFonts w:ascii="Arial" w:hAnsi="Arial" w:cs="Arial"/>
              </w:rPr>
              <w:t>EqIA</w:t>
            </w:r>
            <w:proofErr w:type="spellEnd"/>
            <w:r w:rsidR="001C63E1">
              <w:rPr>
                <w:rFonts w:ascii="Arial" w:hAnsi="Arial" w:cs="Arial"/>
              </w:rPr>
              <w:t xml:space="preserve"> for the Housing Strategy)</w:t>
            </w:r>
            <w:r w:rsidRPr="001C63E1">
              <w:rPr>
                <w:rFonts w:ascii="Arial" w:hAnsi="Arial" w:cs="Arial"/>
              </w:rPr>
              <w:t xml:space="preserve">. </w:t>
            </w:r>
          </w:p>
          <w:p w14:paraId="3E8643A3" w14:textId="4DCE37D0" w:rsidR="00C431B3" w:rsidRPr="0090668B" w:rsidRDefault="00C431B3" w:rsidP="00151963">
            <w:pPr>
              <w:spacing w:after="160" w:line="240" w:lineRule="exact"/>
              <w:rPr>
                <w:rFonts w:ascii="Arial" w:eastAsia="Times New Roman" w:hAnsi="Arial" w:cs="Arial"/>
                <w:color w:val="0000FF"/>
                <w:u w:val="single"/>
                <w:lang w:val="en-US"/>
              </w:rPr>
            </w:pPr>
            <w:r>
              <w:rPr>
                <w:rFonts w:ascii="Arial" w:eastAsia="Times New Roman" w:hAnsi="Arial" w:cs="Arial"/>
                <w:lang w:val="en-US"/>
              </w:rPr>
              <w:t xml:space="preserve">The proposal </w:t>
            </w:r>
            <w:r w:rsidR="00616D26">
              <w:rPr>
                <w:rFonts w:ascii="Arial" w:eastAsia="Times New Roman" w:hAnsi="Arial" w:cs="Arial"/>
                <w:lang w:val="en-US"/>
              </w:rPr>
              <w:t xml:space="preserve">facilitates another form of affordable housing tenure thereby creating further avenues for home ownership across all age groups, resulting in a positive impact. </w:t>
            </w:r>
            <w:r w:rsidR="000207C6">
              <w:rPr>
                <w:rFonts w:ascii="Arial" w:eastAsia="Times New Roman" w:hAnsi="Arial" w:cs="Arial"/>
                <w:lang w:val="en-US"/>
              </w:rPr>
              <w:t>This impact is likely to be most positive for younger persons who can afford to rent in the private market but cannot afford to purchase a property</w:t>
            </w:r>
            <w:r w:rsidR="002C6FAE">
              <w:rPr>
                <w:rFonts w:ascii="Arial" w:eastAsia="Times New Roman" w:hAnsi="Arial" w:cs="Arial"/>
                <w:lang w:val="en-US"/>
              </w:rPr>
              <w:t xml:space="preserve"> at 100% market value</w:t>
            </w:r>
            <w:r w:rsidR="000207C6">
              <w:rPr>
                <w:rFonts w:ascii="Arial" w:eastAsia="Times New Roman" w:hAnsi="Arial" w:cs="Arial"/>
                <w:lang w:val="en-US"/>
              </w:rPr>
              <w:t xml:space="preserve">. </w:t>
            </w:r>
            <w:r w:rsidR="001C63E1">
              <w:rPr>
                <w:rFonts w:ascii="Arial" w:eastAsia="Times New Roman" w:hAnsi="Arial" w:cs="Arial"/>
                <w:lang w:val="en-US"/>
              </w:rPr>
              <w:t xml:space="preserve">Such </w:t>
            </w:r>
            <w:proofErr w:type="spellStart"/>
            <w:r w:rsidR="001C63E1">
              <w:rPr>
                <w:rFonts w:ascii="Arial" w:eastAsia="Times New Roman" w:hAnsi="Arial" w:cs="Arial"/>
                <w:lang w:val="en-US"/>
              </w:rPr>
              <w:t>faciliatation</w:t>
            </w:r>
            <w:proofErr w:type="spellEnd"/>
            <w:r w:rsidR="001C63E1">
              <w:rPr>
                <w:rFonts w:ascii="Arial" w:eastAsia="Times New Roman" w:hAnsi="Arial" w:cs="Arial"/>
                <w:lang w:val="en-US"/>
              </w:rPr>
              <w:t xml:space="preserve"> (which is discretionary)</w:t>
            </w:r>
            <w:r w:rsidR="00616D26">
              <w:rPr>
                <w:rFonts w:ascii="Arial" w:eastAsia="Times New Roman" w:hAnsi="Arial" w:cs="Arial"/>
                <w:lang w:val="en-US"/>
              </w:rPr>
              <w:t xml:space="preserve"> could however be at the expense of low-cost rent tenures (such as London Affordable Rent) which are the priority in Harrow (reflected in the Local Plan </w:t>
            </w:r>
            <w:proofErr w:type="gramStart"/>
            <w:r w:rsidR="00616D26">
              <w:rPr>
                <w:rFonts w:ascii="Arial" w:eastAsia="Times New Roman" w:hAnsi="Arial" w:cs="Arial"/>
                <w:lang w:val="en-US"/>
              </w:rPr>
              <w:t>and also</w:t>
            </w:r>
            <w:proofErr w:type="gramEnd"/>
            <w:r w:rsidR="00616D26">
              <w:rPr>
                <w:rFonts w:ascii="Arial" w:eastAsia="Times New Roman" w:hAnsi="Arial" w:cs="Arial"/>
                <w:lang w:val="en-US"/>
              </w:rPr>
              <w:t xml:space="preserve"> the Harrow Housing Strategy). </w:t>
            </w:r>
            <w:r w:rsidR="001C63E1">
              <w:rPr>
                <w:rFonts w:ascii="Arial" w:eastAsia="Times New Roman" w:hAnsi="Arial" w:cs="Arial"/>
                <w:lang w:val="en-US"/>
              </w:rPr>
              <w:t xml:space="preserve">This impact is however expected to be minor as the overarching policy / priority remains low-cost rent tenures and the policy will be largely </w:t>
            </w:r>
            <w:proofErr w:type="spellStart"/>
            <w:r w:rsidR="001C63E1">
              <w:rPr>
                <w:rFonts w:ascii="Arial" w:eastAsia="Times New Roman" w:hAnsi="Arial" w:cs="Arial"/>
                <w:lang w:val="en-US"/>
              </w:rPr>
              <w:t>superceded</w:t>
            </w:r>
            <w:proofErr w:type="spellEnd"/>
            <w:r w:rsidR="001C63E1">
              <w:rPr>
                <w:rFonts w:ascii="Arial" w:eastAsia="Times New Roman" w:hAnsi="Arial" w:cs="Arial"/>
                <w:lang w:val="en-US"/>
              </w:rPr>
              <w:t xml:space="preserve"> by </w:t>
            </w:r>
            <w:r w:rsidR="00151963">
              <w:rPr>
                <w:rFonts w:ascii="Arial" w:eastAsia="Times New Roman" w:hAnsi="Arial" w:cs="Arial"/>
                <w:lang w:val="en-US"/>
              </w:rPr>
              <w:t>development of First Homes tenures (30% discount rather than 20% discount), which will benefit from mandatory social housing relief under the CIL Regulations.</w:t>
            </w:r>
            <w:r w:rsidR="00862314">
              <w:rPr>
                <w:rFonts w:ascii="Arial" w:eastAsia="Times New Roman" w:hAnsi="Arial" w:cs="Arial"/>
                <w:lang w:val="en-US"/>
              </w:rPr>
              <w:t xml:space="preserve"> The overall impact will therefore remain positive</w:t>
            </w:r>
            <w:r w:rsidR="000207C6">
              <w:rPr>
                <w:rFonts w:ascii="Arial" w:eastAsia="Times New Roman" w:hAnsi="Arial" w:cs="Arial"/>
                <w:lang w:val="en-US"/>
              </w:rPr>
              <w:t>.</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5DD56BAA" w:rsidR="00701D5A" w:rsidRPr="00701D5A" w:rsidRDefault="00862314"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3D1C84C9" w:rsidR="00701D5A" w:rsidRPr="00701D5A" w:rsidRDefault="0086231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27522950" w14:textId="19A73213" w:rsidR="00701D5A" w:rsidRDefault="00862314" w:rsidP="001B4788">
            <w:pPr>
              <w:spacing w:after="160" w:line="240" w:lineRule="exact"/>
              <w:rPr>
                <w:rFonts w:ascii="Arial" w:hAnsi="Arial" w:cs="Arial"/>
              </w:rPr>
            </w:pPr>
            <w:r w:rsidRPr="00862314">
              <w:rPr>
                <w:rFonts w:ascii="Arial" w:hAnsi="Arial" w:cs="Arial"/>
              </w:rPr>
              <w:t>In the ONS Annual Population Survey 2017 13.7% of Harrow’s working age population classified themselves as disabled, a total of 22,100 people. 6,470 individuals, 2.6% of the total population, received Disability Living Allowance.</w:t>
            </w:r>
          </w:p>
          <w:p w14:paraId="3E38BDCC" w14:textId="2C197C44" w:rsidR="000207C6" w:rsidRPr="00862314" w:rsidRDefault="000207C6" w:rsidP="001B4788">
            <w:pPr>
              <w:spacing w:after="160" w:line="240" w:lineRule="exact"/>
              <w:rPr>
                <w:rFonts w:ascii="Arial" w:hAnsi="Arial" w:cs="Arial"/>
              </w:rPr>
            </w:pPr>
            <w:r>
              <w:rPr>
                <w:rFonts w:ascii="Arial" w:hAnsi="Arial" w:cs="Arial"/>
              </w:rPr>
              <w:t xml:space="preserve">The Harrow SHMA 2018 found that the </w:t>
            </w:r>
            <w:r w:rsidR="002C6FAE">
              <w:rPr>
                <w:rFonts w:ascii="Arial" w:hAnsi="Arial" w:cs="Arial"/>
              </w:rPr>
              <w:t>number of</w:t>
            </w:r>
            <w:r>
              <w:rPr>
                <w:rFonts w:ascii="Arial" w:hAnsi="Arial" w:cs="Arial"/>
              </w:rPr>
              <w:t xml:space="preserve"> </w:t>
            </w:r>
            <w:r w:rsidR="002C6FAE">
              <w:rPr>
                <w:rFonts w:ascii="Arial" w:hAnsi="Arial" w:cs="Arial"/>
              </w:rPr>
              <w:t>households</w:t>
            </w:r>
            <w:r>
              <w:rPr>
                <w:rFonts w:ascii="Arial" w:hAnsi="Arial" w:cs="Arial"/>
              </w:rPr>
              <w:t xml:space="preserve"> on the local </w:t>
            </w:r>
            <w:r w:rsidR="002C6FAE">
              <w:rPr>
                <w:rFonts w:ascii="Arial" w:hAnsi="Arial" w:cs="Arial"/>
              </w:rPr>
              <w:t>authority housing</w:t>
            </w:r>
            <w:r>
              <w:rPr>
                <w:rFonts w:ascii="Arial" w:hAnsi="Arial" w:cs="Arial"/>
              </w:rPr>
              <w:t xml:space="preserve"> register at 1 April 2016 who needed to move on medical and </w:t>
            </w:r>
            <w:r w:rsidR="002C6FAE">
              <w:rPr>
                <w:rFonts w:ascii="Arial" w:hAnsi="Arial" w:cs="Arial"/>
              </w:rPr>
              <w:t>welfare</w:t>
            </w:r>
            <w:r>
              <w:rPr>
                <w:rFonts w:ascii="Arial" w:hAnsi="Arial" w:cs="Arial"/>
              </w:rPr>
              <w:t xml:space="preserve"> grounds (including </w:t>
            </w:r>
            <w:r w:rsidR="002C6FAE">
              <w:rPr>
                <w:rFonts w:ascii="Arial" w:hAnsi="Arial" w:cs="Arial"/>
              </w:rPr>
              <w:t>grounds</w:t>
            </w:r>
            <w:r>
              <w:rPr>
                <w:rFonts w:ascii="Arial" w:hAnsi="Arial" w:cs="Arial"/>
              </w:rPr>
              <w:t xml:space="preserve"> relating to a disability) was 196.</w:t>
            </w:r>
          </w:p>
          <w:p w14:paraId="4CEBB6BE" w14:textId="03034686" w:rsidR="00862314" w:rsidRDefault="00862314" w:rsidP="00862314">
            <w:pPr>
              <w:spacing w:after="160" w:line="240" w:lineRule="exact"/>
              <w:rPr>
                <w:rFonts w:ascii="Arial" w:hAnsi="Arial" w:cs="Arial"/>
              </w:rPr>
            </w:pPr>
            <w:r w:rsidRPr="001C63E1">
              <w:rPr>
                <w:rFonts w:ascii="Arial" w:hAnsi="Arial" w:cs="Arial"/>
              </w:rPr>
              <w:t xml:space="preserve">The </w:t>
            </w:r>
            <w:r>
              <w:rPr>
                <w:rFonts w:ascii="Arial" w:hAnsi="Arial" w:cs="Arial"/>
              </w:rPr>
              <w:t xml:space="preserve">Harrow Local Plan (adopted 2012 and 2013) and </w:t>
            </w:r>
            <w:r w:rsidRPr="001C63E1">
              <w:rPr>
                <w:rFonts w:ascii="Arial" w:hAnsi="Arial" w:cs="Arial"/>
              </w:rPr>
              <w:t xml:space="preserve">Housing Strategy </w:t>
            </w:r>
            <w:r>
              <w:rPr>
                <w:rFonts w:ascii="Arial" w:hAnsi="Arial" w:cs="Arial"/>
              </w:rPr>
              <w:t xml:space="preserve">(adopted 2018) policies and </w:t>
            </w:r>
            <w:r w:rsidRPr="001C63E1">
              <w:rPr>
                <w:rFonts w:ascii="Arial" w:hAnsi="Arial" w:cs="Arial"/>
              </w:rPr>
              <w:t xml:space="preserve">priorities </w:t>
            </w:r>
            <w:r>
              <w:rPr>
                <w:rFonts w:ascii="Arial" w:hAnsi="Arial" w:cs="Arial"/>
              </w:rPr>
              <w:t xml:space="preserve">relating to </w:t>
            </w:r>
            <w:r w:rsidRPr="00862314">
              <w:rPr>
                <w:rFonts w:ascii="Arial" w:hAnsi="Arial" w:cs="Arial"/>
              </w:rPr>
              <w:t>increasing the supply of affordable housing, improving standards in the private sector and meeting the needs of vulnerable people will have a positive impact on people with disabilities</w:t>
            </w:r>
            <w:r>
              <w:rPr>
                <w:rFonts w:ascii="Arial" w:hAnsi="Arial" w:cs="Arial"/>
              </w:rPr>
              <w:t xml:space="preserve"> (as evidenced in the </w:t>
            </w:r>
            <w:proofErr w:type="spellStart"/>
            <w:r w:rsidR="001E49D0">
              <w:rPr>
                <w:rFonts w:ascii="Arial" w:hAnsi="Arial" w:cs="Arial"/>
              </w:rPr>
              <w:t>EqIA</w:t>
            </w:r>
            <w:proofErr w:type="spellEnd"/>
            <w:r>
              <w:rPr>
                <w:rFonts w:ascii="Arial" w:hAnsi="Arial" w:cs="Arial"/>
              </w:rPr>
              <w:t xml:space="preserve"> for the Housing Strategy)</w:t>
            </w:r>
            <w:r w:rsidRPr="00862314">
              <w:rPr>
                <w:rFonts w:ascii="Arial" w:hAnsi="Arial" w:cs="Arial"/>
              </w:rPr>
              <w:t>.</w:t>
            </w:r>
          </w:p>
          <w:p w14:paraId="3E8643AF" w14:textId="01FA9E1A" w:rsidR="00862314" w:rsidRPr="0090668B" w:rsidRDefault="00862314" w:rsidP="00862314">
            <w:pPr>
              <w:spacing w:after="160" w:line="240" w:lineRule="exact"/>
              <w:rPr>
                <w:rFonts w:ascii="Arial" w:eastAsia="Times New Roman" w:hAnsi="Arial" w:cs="Arial"/>
                <w:lang w:val="en-US"/>
              </w:rPr>
            </w:pPr>
            <w:r>
              <w:rPr>
                <w:rFonts w:ascii="Arial" w:eastAsia="Times New Roman" w:hAnsi="Arial" w:cs="Arial"/>
                <w:lang w:val="en-US"/>
              </w:rPr>
              <w:t xml:space="preserve">The proposal facilitates another form of affordable housing tenure thereby creating further avenues for home ownership is likely to benefit </w:t>
            </w:r>
            <w:r w:rsidR="002C6FAE">
              <w:rPr>
                <w:rFonts w:ascii="Arial" w:eastAsia="Times New Roman" w:hAnsi="Arial" w:cs="Arial"/>
                <w:lang w:val="en-US"/>
              </w:rPr>
              <w:t>people</w:t>
            </w:r>
            <w:r>
              <w:rPr>
                <w:rFonts w:ascii="Arial" w:eastAsia="Times New Roman" w:hAnsi="Arial" w:cs="Arial"/>
                <w:lang w:val="en-US"/>
              </w:rPr>
              <w:t xml:space="preserve"> with disabilities, resulting in a positive impact. Such </w:t>
            </w:r>
            <w:r w:rsidR="002C6FAE">
              <w:rPr>
                <w:rFonts w:ascii="Arial" w:eastAsia="Times New Roman" w:hAnsi="Arial" w:cs="Arial"/>
                <w:lang w:val="en-US"/>
              </w:rPr>
              <w:t>facilitation</w:t>
            </w:r>
            <w:r>
              <w:rPr>
                <w:rFonts w:ascii="Arial" w:eastAsia="Times New Roman" w:hAnsi="Arial" w:cs="Arial"/>
                <w:lang w:val="en-US"/>
              </w:rPr>
              <w:t xml:space="preserve"> (which is discretionary) could however be at the </w:t>
            </w:r>
            <w:r>
              <w:rPr>
                <w:rFonts w:ascii="Arial" w:eastAsia="Times New Roman" w:hAnsi="Arial" w:cs="Arial"/>
                <w:lang w:val="en-US"/>
              </w:rPr>
              <w:lastRenderedPageBreak/>
              <w:t>expense of low-cost rent tenures (such as London Affordable Rent) which are the priority in Harrow (reflected in the Local Plan and also the Harrow Housing Strategy) and for which there is an identifiable demand for from people with disabilities (reflected in Government policies such as only being able to stipulate the highest Part M Building Regulations requirements for that tenure</w:t>
            </w:r>
            <w:r w:rsidR="000207C6">
              <w:rPr>
                <w:rFonts w:ascii="Arial" w:eastAsia="Times New Roman" w:hAnsi="Arial" w:cs="Arial"/>
                <w:lang w:val="en-US"/>
              </w:rPr>
              <w:t>, and the Harrow SHMA figures above)</w:t>
            </w:r>
            <w:r>
              <w:rPr>
                <w:rFonts w:ascii="Arial" w:eastAsia="Times New Roman" w:hAnsi="Arial" w:cs="Arial"/>
                <w:lang w:val="en-US"/>
              </w:rPr>
              <w:t xml:space="preserve">. This impact is however expected to be minor as the overarching policy / priority remains low-cost rent tenures and the policy will be largely </w:t>
            </w:r>
            <w:r w:rsidR="002C6FAE">
              <w:rPr>
                <w:rFonts w:ascii="Arial" w:eastAsia="Times New Roman" w:hAnsi="Arial" w:cs="Arial"/>
                <w:lang w:val="en-US"/>
              </w:rPr>
              <w:t>superseded</w:t>
            </w:r>
            <w:r>
              <w:rPr>
                <w:rFonts w:ascii="Arial" w:eastAsia="Times New Roman" w:hAnsi="Arial" w:cs="Arial"/>
                <w:lang w:val="en-US"/>
              </w:rPr>
              <w:t xml:space="preserve"> by development of First Homes tenures (30% discount rather than 20% discount), which will benefit from mandatory social housing relief under the CIL Regulations. The overall impact will therefore remain positive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29AAB878" w:rsidR="00701D5A" w:rsidRPr="00701D5A" w:rsidRDefault="00862314"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E8643BC" w14:textId="6BCF7AF1" w:rsidR="00701D5A" w:rsidRPr="0090668B" w:rsidRDefault="00862314" w:rsidP="00862314">
            <w:pPr>
              <w:spacing w:after="160" w:line="240" w:lineRule="exact"/>
              <w:rPr>
                <w:rFonts w:ascii="Arial" w:eastAsia="Times New Roman" w:hAnsi="Arial" w:cs="Arial"/>
                <w:sz w:val="16"/>
                <w:szCs w:val="16"/>
                <w:lang w:eastAsia="en-GB"/>
              </w:rPr>
            </w:pPr>
            <w:r w:rsidRPr="00862314">
              <w:rPr>
                <w:rFonts w:ascii="Arial" w:eastAsia="Times New Roman" w:hAnsi="Arial" w:cs="Arial"/>
                <w:lang w:val="en-US"/>
              </w:rPr>
              <w:t>There is limited data held about this protected characteristic for the Harrow population. The England/Wales Census and Scottish Census have not asked if people identify as transgender. The charity GIRES estimated in their Home Office funded study in 2009 the number of transgender people in the UK to be between 300,000 and 500,000. Although Gender Reassignment is a protected characteristic under equalities legislation, there is insufficient data and no evidence that the proposal will have a negative impact on any individual or group due to gender reassignment.</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A9E5AC5" w:rsidR="00701D5A" w:rsidRPr="00701D5A" w:rsidRDefault="0086231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44A8AA85" w14:textId="77777777" w:rsidR="00862314" w:rsidRDefault="00862314" w:rsidP="00862314">
            <w:pPr>
              <w:spacing w:after="160" w:line="240" w:lineRule="exact"/>
              <w:rPr>
                <w:rFonts w:ascii="Arial" w:eastAsia="Times New Roman" w:hAnsi="Arial" w:cs="Arial"/>
                <w:lang w:val="en-US"/>
              </w:rPr>
            </w:pPr>
            <w:r w:rsidRPr="00862314">
              <w:rPr>
                <w:rFonts w:ascii="Arial" w:eastAsia="Times New Roman" w:hAnsi="Arial" w:cs="Arial"/>
                <w:lang w:val="en-US"/>
              </w:rPr>
              <w:t>The 2011 Census showed that 54% of Harrow's residents are married, which was the highest level in London. 21% of households were married, or in same</w:t>
            </w:r>
            <w:r>
              <w:rPr>
                <w:rFonts w:ascii="Arial" w:eastAsia="Times New Roman" w:hAnsi="Arial" w:cs="Arial"/>
                <w:lang w:val="en-US"/>
              </w:rPr>
              <w:t xml:space="preserve"> </w:t>
            </w:r>
            <w:r w:rsidRPr="00862314">
              <w:rPr>
                <w:rFonts w:ascii="Arial" w:eastAsia="Times New Roman" w:hAnsi="Arial" w:cs="Arial"/>
                <w:lang w:val="en-US"/>
              </w:rPr>
              <w:t xml:space="preserve">sex civil partnerships, with dependent children, the highest level in London. </w:t>
            </w:r>
          </w:p>
          <w:p w14:paraId="1539A4A0" w14:textId="77777777" w:rsidR="00862314" w:rsidRDefault="00862314" w:rsidP="00862314">
            <w:pPr>
              <w:spacing w:after="160" w:line="240" w:lineRule="exact"/>
              <w:rPr>
                <w:rFonts w:ascii="Arial" w:eastAsia="Times New Roman" w:hAnsi="Arial" w:cs="Arial"/>
                <w:lang w:val="en-US"/>
              </w:rPr>
            </w:pPr>
            <w:r w:rsidRPr="00862314">
              <w:rPr>
                <w:rFonts w:ascii="Arial" w:eastAsia="Times New Roman" w:hAnsi="Arial" w:cs="Arial"/>
                <w:lang w:val="en-US"/>
              </w:rPr>
              <w:t xml:space="preserve">At 31 December 2016 there had been 142 Civil Partnerships in Harrow, 19 of which had been converted to marriage. There had been 32 same sex marriages in Harrow since inception on 29th March 2014. </w:t>
            </w:r>
          </w:p>
          <w:p w14:paraId="3E8643C9" w14:textId="068FEF31" w:rsidR="00701D5A" w:rsidRPr="00697B1C" w:rsidRDefault="00862314" w:rsidP="00862314">
            <w:pPr>
              <w:spacing w:after="160" w:line="240" w:lineRule="exact"/>
              <w:rPr>
                <w:rFonts w:ascii="Arial" w:eastAsia="Times New Roman" w:hAnsi="Arial" w:cs="Arial"/>
                <w:b/>
                <w:color w:val="FFFFFF"/>
                <w:sz w:val="24"/>
                <w:szCs w:val="24"/>
                <w:lang w:eastAsia="en-GB"/>
              </w:rPr>
            </w:pPr>
            <w:r w:rsidRPr="00862314">
              <w:rPr>
                <w:rFonts w:ascii="Arial" w:eastAsia="Times New Roman" w:hAnsi="Arial" w:cs="Arial"/>
                <w:lang w:val="en-US"/>
              </w:rPr>
              <w:t>There is no evidence that the proposal will have a negative impact on any individual or group due to marriage or civil partnership.</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42189802" w:rsidR="00701D5A" w:rsidRPr="00701D5A" w:rsidRDefault="006B189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72FE5A4B" w14:textId="77777777" w:rsidR="006B1891" w:rsidRPr="006B1891" w:rsidRDefault="006B1891" w:rsidP="001B4788">
            <w:pPr>
              <w:spacing w:after="160" w:line="240" w:lineRule="exact"/>
              <w:rPr>
                <w:rFonts w:ascii="Arial" w:hAnsi="Arial" w:cs="Arial"/>
              </w:rPr>
            </w:pPr>
            <w:r w:rsidRPr="006B1891">
              <w:rPr>
                <w:rFonts w:ascii="Arial" w:hAnsi="Arial" w:cs="Arial"/>
              </w:rPr>
              <w:t xml:space="preserve">There is limited data held about this protected characteristic for the Harrow population. ONS births figures show Harrow as having 3,582 live births in 2018. </w:t>
            </w:r>
          </w:p>
          <w:p w14:paraId="4DFB76C6" w14:textId="77777777" w:rsidR="00FC220A" w:rsidRDefault="006B1891" w:rsidP="001B4788">
            <w:pPr>
              <w:spacing w:after="160" w:line="240" w:lineRule="exact"/>
              <w:rPr>
                <w:rFonts w:ascii="Arial" w:hAnsi="Arial" w:cs="Arial"/>
              </w:rPr>
            </w:pPr>
            <w:r w:rsidRPr="006B1891">
              <w:rPr>
                <w:rFonts w:ascii="Arial" w:hAnsi="Arial" w:cs="Arial"/>
              </w:rPr>
              <w:t>In 2016 there were 14.5 live births per 1000 population which is higher than the UK average of 11.8. For women under the age of 18, the birth rate was 3.7 per 1000 population which is in line with the London average of 3.8 and lower than the UK average of 5.7. Harrow has the lowest levels of live births outside of marriage in the country (19.4%).</w:t>
            </w:r>
          </w:p>
          <w:p w14:paraId="3E8643D4" w14:textId="7EE8EB89" w:rsidR="006B1891" w:rsidRPr="0090668B" w:rsidRDefault="006B1891" w:rsidP="001B4788">
            <w:pPr>
              <w:spacing w:after="160" w:line="240" w:lineRule="exact"/>
              <w:rPr>
                <w:rFonts w:ascii="Arial" w:eastAsia="Times New Roman" w:hAnsi="Arial" w:cs="Arial"/>
                <w:sz w:val="16"/>
                <w:szCs w:val="16"/>
                <w:lang w:val="en-US"/>
              </w:rPr>
            </w:pPr>
            <w:r>
              <w:rPr>
                <w:rFonts w:ascii="Arial" w:hAnsi="Arial" w:cs="Arial"/>
              </w:rPr>
              <w:lastRenderedPageBreak/>
              <w:t>There is no evidence that the proposal will have a negative impact on pregnancy and maternity.</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5FEC2EA6" w:rsidR="00FC220A" w:rsidRPr="00701D5A" w:rsidRDefault="006B1891"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6D0980">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8B7760B" w14:textId="0B4321E9" w:rsidR="00524518" w:rsidRPr="006B1891" w:rsidRDefault="006B1891" w:rsidP="001B4788">
            <w:pPr>
              <w:spacing w:after="160" w:line="240" w:lineRule="exact"/>
              <w:rPr>
                <w:rFonts w:ascii="Arial" w:hAnsi="Arial" w:cs="Arial"/>
              </w:rPr>
            </w:pPr>
            <w:r w:rsidRPr="006B1891">
              <w:rPr>
                <w:rFonts w:ascii="Arial" w:hAnsi="Arial" w:cs="Arial"/>
              </w:rPr>
              <w:t xml:space="preserve">Harrow's population is one of the most diverse nationally. The 2011 Census showed that 69.1% of residents were from </w:t>
            </w:r>
            <w:r w:rsidR="00B159CC">
              <w:rPr>
                <w:rFonts w:ascii="Arial" w:hAnsi="Arial" w:cs="Arial"/>
              </w:rPr>
              <w:t>Black, Asian and Multi-ethnic</w:t>
            </w:r>
            <w:r w:rsidRPr="006B1891">
              <w:rPr>
                <w:rFonts w:ascii="Arial" w:hAnsi="Arial" w:cs="Arial"/>
              </w:rPr>
              <w:t xml:space="preserve"> groups and 31.9% of residents stated that they were White-British. 26.4% of Harrow's residents were of Indian origin, the largest ethnic group. Harrow is also home to the country's largest Sri Lankan born community.</w:t>
            </w:r>
          </w:p>
          <w:p w14:paraId="40F59B2D" w14:textId="565E6908" w:rsidR="006B1891" w:rsidRPr="001C63E1" w:rsidRDefault="006B1891" w:rsidP="006B1891">
            <w:pPr>
              <w:spacing w:after="160" w:line="240" w:lineRule="exact"/>
              <w:rPr>
                <w:rFonts w:ascii="Arial" w:eastAsia="Times New Roman" w:hAnsi="Arial" w:cs="Arial"/>
                <w:lang w:val="en-US"/>
              </w:rPr>
            </w:pPr>
            <w:r w:rsidRPr="001C63E1">
              <w:rPr>
                <w:rFonts w:ascii="Arial" w:hAnsi="Arial" w:cs="Arial"/>
              </w:rPr>
              <w:t xml:space="preserve">The </w:t>
            </w:r>
            <w:r>
              <w:rPr>
                <w:rFonts w:ascii="Arial" w:hAnsi="Arial" w:cs="Arial"/>
              </w:rPr>
              <w:t xml:space="preserve">Harrow Local Plan (adopted 2012 and 2013) and </w:t>
            </w:r>
            <w:r w:rsidRPr="001C63E1">
              <w:rPr>
                <w:rFonts w:ascii="Arial" w:hAnsi="Arial" w:cs="Arial"/>
              </w:rPr>
              <w:t xml:space="preserve">Housing Strategy </w:t>
            </w:r>
            <w:r>
              <w:rPr>
                <w:rFonts w:ascii="Arial" w:hAnsi="Arial" w:cs="Arial"/>
              </w:rPr>
              <w:t xml:space="preserve">(adopted 2018) policies and </w:t>
            </w:r>
            <w:r w:rsidRPr="001C63E1">
              <w:rPr>
                <w:rFonts w:ascii="Arial" w:hAnsi="Arial" w:cs="Arial"/>
              </w:rPr>
              <w:t xml:space="preserve">priorities </w:t>
            </w:r>
            <w:r>
              <w:rPr>
                <w:rFonts w:ascii="Arial" w:hAnsi="Arial" w:cs="Arial"/>
              </w:rPr>
              <w:t xml:space="preserve">relating to </w:t>
            </w:r>
            <w:r w:rsidRPr="001C63E1">
              <w:rPr>
                <w:rFonts w:ascii="Arial" w:hAnsi="Arial" w:cs="Arial"/>
              </w:rPr>
              <w:t xml:space="preserve">increasing the supply of affordable housing, improving standards in the private sector and meeting the needs of vulnerable people have a positive impact on all </w:t>
            </w:r>
            <w:r>
              <w:rPr>
                <w:rFonts w:ascii="Arial" w:hAnsi="Arial" w:cs="Arial"/>
              </w:rPr>
              <w:t>race / ethnicity</w:t>
            </w:r>
            <w:r w:rsidRPr="001C63E1">
              <w:rPr>
                <w:rFonts w:ascii="Arial" w:hAnsi="Arial" w:cs="Arial"/>
              </w:rPr>
              <w:t xml:space="preserve"> groups</w:t>
            </w:r>
            <w:r>
              <w:rPr>
                <w:rFonts w:ascii="Arial" w:hAnsi="Arial" w:cs="Arial"/>
              </w:rPr>
              <w:t xml:space="preserve"> (as evidenced in the </w:t>
            </w:r>
            <w:proofErr w:type="spellStart"/>
            <w:r w:rsidR="001E49D0">
              <w:rPr>
                <w:rFonts w:ascii="Arial" w:hAnsi="Arial" w:cs="Arial"/>
              </w:rPr>
              <w:t>EqIA</w:t>
            </w:r>
            <w:proofErr w:type="spellEnd"/>
            <w:r>
              <w:rPr>
                <w:rFonts w:ascii="Arial" w:hAnsi="Arial" w:cs="Arial"/>
              </w:rPr>
              <w:t xml:space="preserve"> for the Housing Strategy)</w:t>
            </w:r>
            <w:r w:rsidRPr="001C63E1">
              <w:rPr>
                <w:rFonts w:ascii="Arial" w:hAnsi="Arial" w:cs="Arial"/>
              </w:rPr>
              <w:t xml:space="preserve">. </w:t>
            </w:r>
          </w:p>
          <w:p w14:paraId="3E8643E1" w14:textId="796A9A23" w:rsidR="006B1891" w:rsidRPr="0090668B" w:rsidRDefault="006B1891" w:rsidP="006B1891">
            <w:pPr>
              <w:spacing w:after="160" w:line="240" w:lineRule="exact"/>
              <w:rPr>
                <w:rFonts w:ascii="Arial" w:eastAsia="Times New Roman" w:hAnsi="Arial" w:cs="Arial"/>
                <w:lang w:val="en-US"/>
              </w:rPr>
            </w:pPr>
            <w:r>
              <w:rPr>
                <w:rFonts w:ascii="Arial" w:eastAsia="Times New Roman" w:hAnsi="Arial" w:cs="Arial"/>
                <w:lang w:val="en-US"/>
              </w:rPr>
              <w:t xml:space="preserve">The proposal facilitates another form of affordable housing tenure thereby creating further avenues for home ownership across all race / ethnicity groups, resulting in a positive impact. Such </w:t>
            </w:r>
            <w:r w:rsidR="002C6FAE">
              <w:rPr>
                <w:rFonts w:ascii="Arial" w:eastAsia="Times New Roman" w:hAnsi="Arial" w:cs="Arial"/>
                <w:lang w:val="en-US"/>
              </w:rPr>
              <w:t>facilitation</w:t>
            </w:r>
            <w:r>
              <w:rPr>
                <w:rFonts w:ascii="Arial" w:eastAsia="Times New Roman" w:hAnsi="Arial" w:cs="Arial"/>
                <w:lang w:val="en-US"/>
              </w:rPr>
              <w:t xml:space="preserve"> (which is discretionary) could however be at the expense of low-cost rent tenures (such as London Affordable Rent) which are the priority in Harrow (reflected in the Local Plan </w:t>
            </w:r>
            <w:r w:rsidR="002C6FAE">
              <w:rPr>
                <w:rFonts w:ascii="Arial" w:eastAsia="Times New Roman" w:hAnsi="Arial" w:cs="Arial"/>
                <w:lang w:val="en-US"/>
              </w:rPr>
              <w:t>and</w:t>
            </w:r>
            <w:r>
              <w:rPr>
                <w:rFonts w:ascii="Arial" w:eastAsia="Times New Roman" w:hAnsi="Arial" w:cs="Arial"/>
                <w:lang w:val="en-US"/>
              </w:rPr>
              <w:t xml:space="preserve"> the Harrow Housing Strategy). This impact is however expected to be minor as the overarching policy / priority remains low-cost rent tenures and the policy will be largely </w:t>
            </w:r>
            <w:r w:rsidR="002C6FAE">
              <w:rPr>
                <w:rFonts w:ascii="Arial" w:eastAsia="Times New Roman" w:hAnsi="Arial" w:cs="Arial"/>
                <w:lang w:val="en-US"/>
              </w:rPr>
              <w:t>superseded</w:t>
            </w:r>
            <w:r>
              <w:rPr>
                <w:rFonts w:ascii="Arial" w:eastAsia="Times New Roman" w:hAnsi="Arial" w:cs="Arial"/>
                <w:lang w:val="en-US"/>
              </w:rPr>
              <w:t xml:space="preserve"> by development of First Homes tenures (30% discount rather than 20% discount), which will benefit from mandatory social housing relief under the CIL Regulations. The overall impact will therefore remain positive.</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4DAE34F3" w:rsidR="00524518" w:rsidRPr="00701D5A" w:rsidRDefault="006B189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4F9FDD02" w14:textId="77777777" w:rsidR="00524518" w:rsidRPr="006B1891" w:rsidRDefault="006B1891" w:rsidP="00AD205B">
            <w:pPr>
              <w:spacing w:after="160" w:line="240" w:lineRule="exact"/>
              <w:rPr>
                <w:rFonts w:ascii="Arial" w:eastAsia="Times New Roman" w:hAnsi="Arial" w:cs="Arial"/>
                <w:lang w:val="en-US"/>
              </w:rPr>
            </w:pPr>
            <w:r w:rsidRPr="006B1891">
              <w:rPr>
                <w:rFonts w:ascii="Arial" w:eastAsia="Times New Roman" w:hAnsi="Arial" w:cs="Arial"/>
                <w:lang w:val="en-US"/>
              </w:rPr>
              <w:t>Religious diversity is strong in Harrow. At the 2011 Census Harrow was the most religiously diverse borough in the country. The 2011 Census showed that Harrow has the highest number (and proportion) of Hindu followers in the country (25.3%), the highest number of Jains (2.2%) and the second highest number of Zoroastrians. Harrow's Jewish community was the sixth largest nationally. 37.3% of residents were Christians (the 5th lowest proportion in the country) and 12.5% were Muslims. Harrow had the 2nd lowest ranking for ‘no religion’.</w:t>
            </w:r>
          </w:p>
          <w:p w14:paraId="5BF647E8" w14:textId="615D8ACA" w:rsidR="006B1891" w:rsidRPr="001C63E1" w:rsidRDefault="006B1891" w:rsidP="006B1891">
            <w:pPr>
              <w:spacing w:after="160" w:line="240" w:lineRule="exact"/>
              <w:rPr>
                <w:rFonts w:ascii="Arial" w:eastAsia="Times New Roman" w:hAnsi="Arial" w:cs="Arial"/>
                <w:lang w:val="en-US"/>
              </w:rPr>
            </w:pPr>
            <w:r w:rsidRPr="001C63E1">
              <w:rPr>
                <w:rFonts w:ascii="Arial" w:hAnsi="Arial" w:cs="Arial"/>
              </w:rPr>
              <w:t xml:space="preserve">The </w:t>
            </w:r>
            <w:r>
              <w:rPr>
                <w:rFonts w:ascii="Arial" w:hAnsi="Arial" w:cs="Arial"/>
              </w:rPr>
              <w:t xml:space="preserve">Harrow Local Plan (adopted 2012 and 2013) and </w:t>
            </w:r>
            <w:r w:rsidRPr="001C63E1">
              <w:rPr>
                <w:rFonts w:ascii="Arial" w:hAnsi="Arial" w:cs="Arial"/>
              </w:rPr>
              <w:t xml:space="preserve">Housing Strategy </w:t>
            </w:r>
            <w:r>
              <w:rPr>
                <w:rFonts w:ascii="Arial" w:hAnsi="Arial" w:cs="Arial"/>
              </w:rPr>
              <w:t xml:space="preserve">(adopted 2018) policies and </w:t>
            </w:r>
            <w:r w:rsidRPr="001C63E1">
              <w:rPr>
                <w:rFonts w:ascii="Arial" w:hAnsi="Arial" w:cs="Arial"/>
              </w:rPr>
              <w:t xml:space="preserve">priorities </w:t>
            </w:r>
            <w:r>
              <w:rPr>
                <w:rFonts w:ascii="Arial" w:hAnsi="Arial" w:cs="Arial"/>
              </w:rPr>
              <w:t xml:space="preserve">relating to </w:t>
            </w:r>
            <w:r w:rsidRPr="001C63E1">
              <w:rPr>
                <w:rFonts w:ascii="Arial" w:hAnsi="Arial" w:cs="Arial"/>
              </w:rPr>
              <w:t xml:space="preserve">increasing the supply of affordable housing, improving standards in the private sector and meeting the needs of vulnerable people have a </w:t>
            </w:r>
            <w:r w:rsidRPr="001C63E1">
              <w:rPr>
                <w:rFonts w:ascii="Arial" w:hAnsi="Arial" w:cs="Arial"/>
              </w:rPr>
              <w:lastRenderedPageBreak/>
              <w:t xml:space="preserve">positive impact on all </w:t>
            </w:r>
            <w:r>
              <w:rPr>
                <w:rFonts w:ascii="Arial" w:hAnsi="Arial" w:cs="Arial"/>
              </w:rPr>
              <w:t xml:space="preserve">religion of belief </w:t>
            </w:r>
            <w:r w:rsidRPr="001C63E1">
              <w:rPr>
                <w:rFonts w:ascii="Arial" w:hAnsi="Arial" w:cs="Arial"/>
              </w:rPr>
              <w:t>groups</w:t>
            </w:r>
            <w:r>
              <w:rPr>
                <w:rFonts w:ascii="Arial" w:hAnsi="Arial" w:cs="Arial"/>
              </w:rPr>
              <w:t xml:space="preserve"> (as evidenced in the </w:t>
            </w:r>
            <w:proofErr w:type="spellStart"/>
            <w:r w:rsidR="001E49D0">
              <w:rPr>
                <w:rFonts w:ascii="Arial" w:hAnsi="Arial" w:cs="Arial"/>
              </w:rPr>
              <w:t>EqIA</w:t>
            </w:r>
            <w:proofErr w:type="spellEnd"/>
            <w:r>
              <w:rPr>
                <w:rFonts w:ascii="Arial" w:hAnsi="Arial" w:cs="Arial"/>
              </w:rPr>
              <w:t xml:space="preserve"> for the Housing Strategy)</w:t>
            </w:r>
            <w:r w:rsidRPr="001C63E1">
              <w:rPr>
                <w:rFonts w:ascii="Arial" w:hAnsi="Arial" w:cs="Arial"/>
              </w:rPr>
              <w:t xml:space="preserve">. </w:t>
            </w:r>
          </w:p>
          <w:p w14:paraId="3E8643ED" w14:textId="34EC29D1" w:rsidR="006B1891" w:rsidRPr="0090668B" w:rsidRDefault="006B1891" w:rsidP="006B1891">
            <w:pPr>
              <w:spacing w:after="160" w:line="240" w:lineRule="exact"/>
              <w:rPr>
                <w:rFonts w:ascii="Arial" w:eastAsia="Times New Roman" w:hAnsi="Arial" w:cs="Arial"/>
                <w:lang w:val="en-US"/>
              </w:rPr>
            </w:pPr>
            <w:r>
              <w:rPr>
                <w:rFonts w:ascii="Arial" w:eastAsia="Times New Roman" w:hAnsi="Arial" w:cs="Arial"/>
                <w:lang w:val="en-US"/>
              </w:rPr>
              <w:t xml:space="preserve">The proposal facilitates another form of affordable housing tenure thereby creating further avenues for home ownership across all religious and belief groups, resulting in a positive impact. Such </w:t>
            </w:r>
            <w:r w:rsidR="002C6FAE">
              <w:rPr>
                <w:rFonts w:ascii="Arial" w:eastAsia="Times New Roman" w:hAnsi="Arial" w:cs="Arial"/>
                <w:lang w:val="en-US"/>
              </w:rPr>
              <w:t>facilitation</w:t>
            </w:r>
            <w:r>
              <w:rPr>
                <w:rFonts w:ascii="Arial" w:eastAsia="Times New Roman" w:hAnsi="Arial" w:cs="Arial"/>
                <w:lang w:val="en-US"/>
              </w:rPr>
              <w:t xml:space="preserve"> (which is discretionary) could however be at the expense of low-cost rent tenures (such as London Affordable Rent) which are the priority in Harrow (reflected in the Local Plan </w:t>
            </w:r>
            <w:r w:rsidR="002C6FAE">
              <w:rPr>
                <w:rFonts w:ascii="Arial" w:eastAsia="Times New Roman" w:hAnsi="Arial" w:cs="Arial"/>
                <w:lang w:val="en-US"/>
              </w:rPr>
              <w:t>and</w:t>
            </w:r>
            <w:r>
              <w:rPr>
                <w:rFonts w:ascii="Arial" w:eastAsia="Times New Roman" w:hAnsi="Arial" w:cs="Arial"/>
                <w:lang w:val="en-US"/>
              </w:rPr>
              <w:t xml:space="preserve"> the Harrow Housing Strategy). This impact is however expected to be minor as the overarching policy / priority remains low-cost rent tenures and the policy will be largely </w:t>
            </w:r>
            <w:r w:rsidR="002C6FAE">
              <w:rPr>
                <w:rFonts w:ascii="Arial" w:eastAsia="Times New Roman" w:hAnsi="Arial" w:cs="Arial"/>
                <w:lang w:val="en-US"/>
              </w:rPr>
              <w:t>superseded</w:t>
            </w:r>
            <w:r>
              <w:rPr>
                <w:rFonts w:ascii="Arial" w:eastAsia="Times New Roman" w:hAnsi="Arial" w:cs="Arial"/>
                <w:lang w:val="en-US"/>
              </w:rPr>
              <w:t xml:space="preserve"> by development of First Homes tenures (30% discount rather than 20% discount), which will benefit from mandatory social housing relief under the CIL Regulations. The overall impact will therefore remain positive.</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3F6FFE2F" w:rsidR="00524518" w:rsidRPr="00701D5A" w:rsidRDefault="006B189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057A3FC6" w14:textId="77777777" w:rsidR="00524518" w:rsidRPr="006B1891" w:rsidRDefault="006B1891" w:rsidP="006B1891">
            <w:pPr>
              <w:spacing w:after="160" w:line="240" w:lineRule="exact"/>
              <w:rPr>
                <w:rFonts w:ascii="Arial" w:eastAsia="Times New Roman" w:hAnsi="Arial" w:cs="Arial"/>
                <w:lang w:val="en-US"/>
              </w:rPr>
            </w:pPr>
            <w:r w:rsidRPr="006B1891">
              <w:rPr>
                <w:rFonts w:ascii="Arial" w:eastAsia="Times New Roman" w:hAnsi="Arial" w:cs="Arial"/>
                <w:lang w:val="en-US"/>
              </w:rPr>
              <w:t>The 2011 Census showed that in Harrow 49.4 per cent of residents were males and 50.6 per cent were females. Overall, the number of males and females living in Harrow is now very similar.</w:t>
            </w:r>
          </w:p>
          <w:p w14:paraId="4F18C3A2" w14:textId="5795FA6A" w:rsidR="006B1891" w:rsidRPr="001C63E1" w:rsidRDefault="006B1891" w:rsidP="006B1891">
            <w:pPr>
              <w:spacing w:after="160" w:line="240" w:lineRule="exact"/>
              <w:rPr>
                <w:rFonts w:ascii="Arial" w:eastAsia="Times New Roman" w:hAnsi="Arial" w:cs="Arial"/>
                <w:lang w:val="en-US"/>
              </w:rPr>
            </w:pPr>
            <w:r w:rsidRPr="001C63E1">
              <w:rPr>
                <w:rFonts w:ascii="Arial" w:hAnsi="Arial" w:cs="Arial"/>
              </w:rPr>
              <w:t xml:space="preserve">The </w:t>
            </w:r>
            <w:r>
              <w:rPr>
                <w:rFonts w:ascii="Arial" w:hAnsi="Arial" w:cs="Arial"/>
              </w:rPr>
              <w:t xml:space="preserve">Harrow Local Plan (adopted 2012 and 2013) and </w:t>
            </w:r>
            <w:r w:rsidRPr="001C63E1">
              <w:rPr>
                <w:rFonts w:ascii="Arial" w:hAnsi="Arial" w:cs="Arial"/>
              </w:rPr>
              <w:t xml:space="preserve">Housing Strategy </w:t>
            </w:r>
            <w:r>
              <w:rPr>
                <w:rFonts w:ascii="Arial" w:hAnsi="Arial" w:cs="Arial"/>
              </w:rPr>
              <w:t xml:space="preserve">(adopted 2018) policies and </w:t>
            </w:r>
            <w:r w:rsidRPr="001C63E1">
              <w:rPr>
                <w:rFonts w:ascii="Arial" w:hAnsi="Arial" w:cs="Arial"/>
              </w:rPr>
              <w:t xml:space="preserve">priorities </w:t>
            </w:r>
            <w:r>
              <w:rPr>
                <w:rFonts w:ascii="Arial" w:hAnsi="Arial" w:cs="Arial"/>
              </w:rPr>
              <w:t xml:space="preserve">relating to </w:t>
            </w:r>
            <w:r w:rsidRPr="001C63E1">
              <w:rPr>
                <w:rFonts w:ascii="Arial" w:hAnsi="Arial" w:cs="Arial"/>
              </w:rPr>
              <w:t xml:space="preserve">increasing the supply of affordable housing, improving standards in the private sector and meeting the needs of vulnerable people have a positive impact on </w:t>
            </w:r>
            <w:r>
              <w:rPr>
                <w:rFonts w:ascii="Arial" w:hAnsi="Arial" w:cs="Arial"/>
              </w:rPr>
              <w:t xml:space="preserve">males and females (as evidenced in the </w:t>
            </w:r>
            <w:proofErr w:type="spellStart"/>
            <w:r w:rsidR="001E49D0">
              <w:rPr>
                <w:rFonts w:ascii="Arial" w:hAnsi="Arial" w:cs="Arial"/>
              </w:rPr>
              <w:t>EqIA</w:t>
            </w:r>
            <w:proofErr w:type="spellEnd"/>
            <w:r>
              <w:rPr>
                <w:rFonts w:ascii="Arial" w:hAnsi="Arial" w:cs="Arial"/>
              </w:rPr>
              <w:t xml:space="preserve"> for the Housing Strategy)</w:t>
            </w:r>
            <w:r w:rsidRPr="001C63E1">
              <w:rPr>
                <w:rFonts w:ascii="Arial" w:hAnsi="Arial" w:cs="Arial"/>
              </w:rPr>
              <w:t xml:space="preserve">. </w:t>
            </w:r>
          </w:p>
          <w:p w14:paraId="3E8643F9" w14:textId="25131A58" w:rsidR="006B1891" w:rsidRPr="0090668B" w:rsidRDefault="006B1891" w:rsidP="006B1891">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The proposal facilitates another form of affordable housing tenure thereby creating further avenues for home ownership for both females and males, resulting in a positive impact. Such </w:t>
            </w:r>
            <w:r w:rsidR="002C6FAE">
              <w:rPr>
                <w:rFonts w:ascii="Arial" w:eastAsia="Times New Roman" w:hAnsi="Arial" w:cs="Arial"/>
                <w:lang w:val="en-US"/>
              </w:rPr>
              <w:t>facilitation</w:t>
            </w:r>
            <w:r>
              <w:rPr>
                <w:rFonts w:ascii="Arial" w:eastAsia="Times New Roman" w:hAnsi="Arial" w:cs="Arial"/>
                <w:lang w:val="en-US"/>
              </w:rPr>
              <w:t xml:space="preserve"> (which is discretionary) could however be at the expense of low-cost rent tenures (such as London Affordable Rent) which are the priority in Harrow (reflected in the Local Plan </w:t>
            </w:r>
            <w:r w:rsidR="002C6FAE">
              <w:rPr>
                <w:rFonts w:ascii="Arial" w:eastAsia="Times New Roman" w:hAnsi="Arial" w:cs="Arial"/>
                <w:lang w:val="en-US"/>
              </w:rPr>
              <w:t>and</w:t>
            </w:r>
            <w:r>
              <w:rPr>
                <w:rFonts w:ascii="Arial" w:eastAsia="Times New Roman" w:hAnsi="Arial" w:cs="Arial"/>
                <w:lang w:val="en-US"/>
              </w:rPr>
              <w:t xml:space="preserve"> the Harrow Housing Strategy). This impact is however expected to be minor as the overarching policy / priority remains low-cost rent tenures and the policy will be largely superceded by development of First Homes tenures (30% discount rather than 20% discount), which will benefit from mandatory social housing relief under the CIL Regulations. The overall impact will therefore remain positive.</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6C4FB500" w:rsidR="00524518" w:rsidRPr="00701D5A" w:rsidRDefault="006B189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E864408" w14:textId="76CF2550" w:rsidR="00524518" w:rsidRPr="00E4776E" w:rsidRDefault="006B1891" w:rsidP="00E4776E">
            <w:pPr>
              <w:tabs>
                <w:tab w:val="left" w:pos="5268"/>
              </w:tabs>
              <w:spacing w:after="160" w:line="240" w:lineRule="exact"/>
              <w:rPr>
                <w:rFonts w:ascii="Arial" w:eastAsia="Times New Roman" w:hAnsi="Arial" w:cs="Arial"/>
                <w:lang w:val="en-US"/>
              </w:rPr>
            </w:pPr>
            <w:r w:rsidRPr="00E4776E">
              <w:rPr>
                <w:rFonts w:ascii="Arial" w:eastAsia="Times New Roman" w:hAnsi="Arial" w:cs="Arial"/>
                <w:lang w:val="en-US"/>
              </w:rPr>
              <w:t xml:space="preserve">There is limited data held about this protected characteristic for the Harrow population. It is estimated that around 10% of the UK population are lesbian, gay or bisexual, which would equate to approximately 25,000 of our residents. Although Sexual Orientation is a protected characteristic under equalities legislation there is insufficient data and no </w:t>
            </w:r>
            <w:r w:rsidRPr="00E4776E">
              <w:rPr>
                <w:rFonts w:ascii="Arial" w:eastAsia="Times New Roman" w:hAnsi="Arial" w:cs="Arial"/>
                <w:lang w:val="en-US"/>
              </w:rPr>
              <w:lastRenderedPageBreak/>
              <w:t>evidence that the proposal will have a negative impact on any individual or group due to their sexual orientation</w:t>
            </w:r>
            <w:r w:rsidR="00E4776E">
              <w:rPr>
                <w:rFonts w:ascii="Arial" w:eastAsia="Times New Roman" w:hAnsi="Arial" w:cs="Arial"/>
                <w:lang w:val="en-US"/>
              </w:rPr>
              <w:t>.</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7AD076E5" w:rsidR="00524518" w:rsidRPr="00701D5A" w:rsidRDefault="00E4776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5F6DAF66" w:rsidR="00B60247" w:rsidRDefault="000D2634"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E4776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1EF7C7FD"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E4776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6C677D" w:rsidRPr="0090668B" w14:paraId="3E86445C" w14:textId="77777777" w:rsidTr="000A2F27">
        <w:tc>
          <w:tcPr>
            <w:tcW w:w="14601" w:type="dxa"/>
            <w:gridSpan w:val="5"/>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gridSpan w:val="5"/>
            <w:shd w:val="clear" w:color="auto" w:fill="FFFFFF" w:themeFill="background1"/>
            <w:vAlign w:val="center"/>
          </w:tcPr>
          <w:p w14:paraId="3E86445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6D0980">
            <w:pPr>
              <w:keepNext/>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8B5BEF4" w:rsidR="006C677D" w:rsidRPr="005763E5" w:rsidRDefault="000D2634"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E4776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0D2634"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0D2634"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901"/>
    <w:multiLevelType w:val="hybridMultilevel"/>
    <w:tmpl w:val="39E6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207C6"/>
    <w:rsid w:val="00025278"/>
    <w:rsid w:val="0003325B"/>
    <w:rsid w:val="000413F2"/>
    <w:rsid w:val="00050ECA"/>
    <w:rsid w:val="00054909"/>
    <w:rsid w:val="00062884"/>
    <w:rsid w:val="00077F24"/>
    <w:rsid w:val="000809B1"/>
    <w:rsid w:val="00081A38"/>
    <w:rsid w:val="00090900"/>
    <w:rsid w:val="00097637"/>
    <w:rsid w:val="000A1C96"/>
    <w:rsid w:val="000A2F27"/>
    <w:rsid w:val="000C3597"/>
    <w:rsid w:val="000D1423"/>
    <w:rsid w:val="000D2634"/>
    <w:rsid w:val="000D3E6C"/>
    <w:rsid w:val="00111C32"/>
    <w:rsid w:val="001208C3"/>
    <w:rsid w:val="001212FD"/>
    <w:rsid w:val="00126B4C"/>
    <w:rsid w:val="0014721F"/>
    <w:rsid w:val="00151963"/>
    <w:rsid w:val="00182C8C"/>
    <w:rsid w:val="00184B44"/>
    <w:rsid w:val="001A57AF"/>
    <w:rsid w:val="001B4788"/>
    <w:rsid w:val="001B4D3E"/>
    <w:rsid w:val="001C595F"/>
    <w:rsid w:val="001C63E1"/>
    <w:rsid w:val="001D6159"/>
    <w:rsid w:val="001E492F"/>
    <w:rsid w:val="001E49D0"/>
    <w:rsid w:val="001F0C39"/>
    <w:rsid w:val="00207D0C"/>
    <w:rsid w:val="00215514"/>
    <w:rsid w:val="00215D81"/>
    <w:rsid w:val="002308CA"/>
    <w:rsid w:val="002570A0"/>
    <w:rsid w:val="0026078C"/>
    <w:rsid w:val="00274706"/>
    <w:rsid w:val="00280A3F"/>
    <w:rsid w:val="0028260D"/>
    <w:rsid w:val="002853EF"/>
    <w:rsid w:val="002871AE"/>
    <w:rsid w:val="002A1A30"/>
    <w:rsid w:val="002C06D1"/>
    <w:rsid w:val="002C6FAE"/>
    <w:rsid w:val="002C7750"/>
    <w:rsid w:val="002F10F2"/>
    <w:rsid w:val="002F1C8D"/>
    <w:rsid w:val="002F285C"/>
    <w:rsid w:val="002F2D89"/>
    <w:rsid w:val="0033364C"/>
    <w:rsid w:val="00341CC2"/>
    <w:rsid w:val="003430BE"/>
    <w:rsid w:val="003536C5"/>
    <w:rsid w:val="003707A6"/>
    <w:rsid w:val="0037377F"/>
    <w:rsid w:val="00377B75"/>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16D26"/>
    <w:rsid w:val="006238C4"/>
    <w:rsid w:val="00644FB2"/>
    <w:rsid w:val="00646596"/>
    <w:rsid w:val="006743D7"/>
    <w:rsid w:val="006757AF"/>
    <w:rsid w:val="0068397C"/>
    <w:rsid w:val="00693164"/>
    <w:rsid w:val="006954EF"/>
    <w:rsid w:val="00697B1C"/>
    <w:rsid w:val="006A1DE9"/>
    <w:rsid w:val="006B1891"/>
    <w:rsid w:val="006C13F9"/>
    <w:rsid w:val="006C284E"/>
    <w:rsid w:val="006C677D"/>
    <w:rsid w:val="006D0980"/>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62314"/>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C206D"/>
    <w:rsid w:val="009D4ABA"/>
    <w:rsid w:val="009F7543"/>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159CC"/>
    <w:rsid w:val="00B22149"/>
    <w:rsid w:val="00B234EA"/>
    <w:rsid w:val="00B40F3D"/>
    <w:rsid w:val="00B60247"/>
    <w:rsid w:val="00B664D7"/>
    <w:rsid w:val="00B90D81"/>
    <w:rsid w:val="00BB4584"/>
    <w:rsid w:val="00BD038A"/>
    <w:rsid w:val="00BD4E90"/>
    <w:rsid w:val="00BE3CDE"/>
    <w:rsid w:val="00BE6026"/>
    <w:rsid w:val="00C07095"/>
    <w:rsid w:val="00C102EE"/>
    <w:rsid w:val="00C11769"/>
    <w:rsid w:val="00C12F15"/>
    <w:rsid w:val="00C23E0C"/>
    <w:rsid w:val="00C314C5"/>
    <w:rsid w:val="00C42B23"/>
    <w:rsid w:val="00C431B3"/>
    <w:rsid w:val="00C6167B"/>
    <w:rsid w:val="00C74463"/>
    <w:rsid w:val="00C838A0"/>
    <w:rsid w:val="00C956CB"/>
    <w:rsid w:val="00C95D5C"/>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909B9"/>
    <w:rsid w:val="00DA7182"/>
    <w:rsid w:val="00DB40C1"/>
    <w:rsid w:val="00DE5B4D"/>
    <w:rsid w:val="00DF5FBE"/>
    <w:rsid w:val="00DF7A3B"/>
    <w:rsid w:val="00DF7E5E"/>
    <w:rsid w:val="00E01062"/>
    <w:rsid w:val="00E2682B"/>
    <w:rsid w:val="00E300C2"/>
    <w:rsid w:val="00E329B2"/>
    <w:rsid w:val="00E40571"/>
    <w:rsid w:val="00E41B9F"/>
    <w:rsid w:val="00E4776E"/>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681b9dd-c258-474a-ab73-52e65e475412"/>
    <ds:schemaRef ds:uri="http://schemas.microsoft.com/office/infopath/2007/PartnerControls"/>
    <ds:schemaRef ds:uri="http://purl.org/dc/elements/1.1/"/>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B74A0C98-833B-4737-8C39-8BA5F0DB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057FA-8373-45E8-B568-0910F07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David Hughes</cp:lastModifiedBy>
  <cp:revision>3</cp:revision>
  <dcterms:created xsi:type="dcterms:W3CDTF">2021-10-08T07:07:00Z</dcterms:created>
  <dcterms:modified xsi:type="dcterms:W3CDTF">2021-10-08T07:08:00Z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521;#EQIA template revised November 2018|c9de5338-33d2-43da-9739-80c4e5b39264</vt:lpwstr>
  </property>
</Properties>
</file>